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59E94">
      <w:pPr>
        <w:spacing w:after="0" w:line="240" w:lineRule="auto"/>
        <w:contextualSpacing/>
        <w:jc w:val="both"/>
        <w:rPr>
          <w:rFonts w:ascii="Times New Roman" w:hAnsi="Times New Roman" w:cs="Times New Roman"/>
          <w:sz w:val="24"/>
          <w:szCs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5837"/>
        <w:gridCol w:w="1896"/>
      </w:tblGrid>
      <w:tr w14:paraId="5258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Borders>
              <w:top w:val="nil"/>
              <w:left w:val="nil"/>
              <w:bottom w:val="nil"/>
              <w:right w:val="nil"/>
            </w:tcBorders>
          </w:tcPr>
          <w:p w14:paraId="7FF069CB">
            <w:pPr>
              <w:spacing w:after="0" w:line="240" w:lineRule="auto"/>
              <w:contextualSpacing/>
              <w:jc w:val="both"/>
              <w:rPr>
                <w:rFonts w:ascii="Times New Roman" w:hAnsi="Times New Roman" w:cs="Times New Roman"/>
                <w:sz w:val="24"/>
                <w:szCs w:val="24"/>
              </w:rPr>
            </w:pPr>
            <w:r>
              <w:rPr>
                <w:lang w:eastAsia="ru-RU"/>
              </w:rPr>
              <w:drawing>
                <wp:inline distT="0" distB="0" distL="0" distR="0">
                  <wp:extent cx="1028065" cy="1026160"/>
                  <wp:effectExtent l="0" t="0" r="635"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7558" cy="1045462"/>
                          </a:xfrm>
                          <a:prstGeom prst="rect">
                            <a:avLst/>
                          </a:prstGeom>
                        </pic:spPr>
                      </pic:pic>
                    </a:graphicData>
                  </a:graphic>
                </wp:inline>
              </w:drawing>
            </w:r>
          </w:p>
        </w:tc>
        <w:tc>
          <w:tcPr>
            <w:tcW w:w="6742" w:type="dxa"/>
            <w:tcBorders>
              <w:top w:val="single" w:color="002060" w:sz="12" w:space="0"/>
              <w:left w:val="nil"/>
              <w:bottom w:val="single" w:color="002060" w:sz="12" w:space="0"/>
              <w:right w:val="nil"/>
            </w:tcBorders>
          </w:tcPr>
          <w:p w14:paraId="2C581DBD">
            <w:pPr>
              <w:spacing w:after="0" w:line="240" w:lineRule="auto"/>
              <w:jc w:val="center"/>
              <w:rPr>
                <w:rFonts w:ascii="Roboto Black" w:hAnsi="Roboto Black"/>
                <w:b/>
                <w:sz w:val="20"/>
                <w:szCs w:val="20"/>
                <w:lang w:val="uk-UA"/>
              </w:rPr>
            </w:pPr>
            <w:r>
              <w:rPr>
                <w:rFonts w:ascii="Roboto Black" w:hAnsi="Roboto Black"/>
                <w:b/>
                <w:sz w:val="20"/>
                <w:szCs w:val="20"/>
                <w:lang w:val="uk-UA"/>
              </w:rPr>
              <w:t>МІНІСТЕРСТВО ОСВІТИ І НАУКИ УКРАЇНИ</w:t>
            </w:r>
          </w:p>
          <w:p w14:paraId="4B79974D">
            <w:pPr>
              <w:spacing w:after="0" w:line="240" w:lineRule="auto"/>
              <w:jc w:val="center"/>
              <w:rPr>
                <w:rFonts w:ascii="Roboto Black" w:hAnsi="Roboto Black"/>
                <w:b/>
                <w:sz w:val="20"/>
                <w:szCs w:val="20"/>
                <w:lang w:val="uk-UA"/>
              </w:rPr>
            </w:pPr>
            <w:r>
              <w:rPr>
                <w:rFonts w:ascii="Roboto Black" w:hAnsi="Roboto Black"/>
                <w:b/>
                <w:sz w:val="20"/>
                <w:szCs w:val="20"/>
                <w:lang w:val="uk-UA"/>
              </w:rPr>
              <w:t>ХАРКІВСЬКИЙ НАЦІОНАЛЬНИЙ УНІВЕРСИТЕТ імені В. Н. КАРАЗІНА</w:t>
            </w:r>
          </w:p>
          <w:p w14:paraId="12AE554B">
            <w:pPr>
              <w:spacing w:after="0" w:line="240" w:lineRule="auto"/>
              <w:jc w:val="center"/>
              <w:rPr>
                <w:rFonts w:ascii="Roboto Black" w:hAnsi="Roboto Black"/>
                <w:b/>
                <w:sz w:val="20"/>
                <w:szCs w:val="20"/>
                <w:lang w:val="uk-UA"/>
              </w:rPr>
            </w:pPr>
            <w:r>
              <w:rPr>
                <w:rFonts w:ascii="Roboto Black" w:hAnsi="Roboto Black"/>
                <w:b/>
                <w:sz w:val="20"/>
                <w:szCs w:val="20"/>
                <w:lang w:val="uk-UA"/>
              </w:rPr>
              <w:t>ІІ МЕДИЧНИЙ ФАКУЛЬТЕТ</w:t>
            </w:r>
          </w:p>
          <w:p w14:paraId="450ADC70">
            <w:pPr>
              <w:spacing w:after="0" w:line="240" w:lineRule="auto"/>
              <w:jc w:val="center"/>
              <w:rPr>
                <w:rFonts w:ascii="Roboto Black" w:hAnsi="Roboto Black"/>
                <w:b/>
                <w:sz w:val="18"/>
                <w:szCs w:val="18"/>
              </w:rPr>
            </w:pPr>
            <w:r>
              <w:rPr>
                <w:rFonts w:ascii="Roboto Black" w:hAnsi="Roboto Black"/>
                <w:b/>
                <w:sz w:val="18"/>
                <w:szCs w:val="18"/>
                <w:lang w:val="uk-UA"/>
              </w:rPr>
              <w:t>майдан Свободи, буд. 4, м. Харків, 610</w:t>
            </w:r>
            <w:r>
              <w:rPr>
                <w:rFonts w:ascii="Roboto Black" w:hAnsi="Roboto Black"/>
                <w:b/>
                <w:sz w:val="18"/>
                <w:szCs w:val="18"/>
              </w:rPr>
              <w:t>22</w:t>
            </w:r>
            <w:r>
              <w:rPr>
                <w:rFonts w:ascii="Roboto Black" w:hAnsi="Roboto Black"/>
                <w:b/>
                <w:sz w:val="18"/>
                <w:szCs w:val="18"/>
                <w:lang w:val="uk-UA"/>
              </w:rPr>
              <w:t>, Україна</w:t>
            </w:r>
          </w:p>
          <w:p w14:paraId="4CB78563">
            <w:pPr>
              <w:spacing w:after="0" w:line="240" w:lineRule="auto"/>
              <w:jc w:val="center"/>
              <w:rPr>
                <w:rFonts w:ascii="Roboto Black" w:hAnsi="Roboto Black"/>
                <w:b/>
                <w:sz w:val="18"/>
                <w:szCs w:val="18"/>
                <w:lang w:val="en-US"/>
              </w:rPr>
            </w:pPr>
            <w:r>
              <w:rPr>
                <w:rFonts w:ascii="Roboto Black" w:hAnsi="Roboto Black"/>
                <w:b/>
                <w:sz w:val="18"/>
                <w:szCs w:val="18"/>
                <w:lang w:val="uk-UA"/>
              </w:rPr>
              <w:t>Тел.: +38 (097) 309-22-22</w:t>
            </w:r>
          </w:p>
          <w:p w14:paraId="45177E11">
            <w:pPr>
              <w:spacing w:after="0" w:line="240" w:lineRule="auto"/>
              <w:contextualSpacing/>
              <w:jc w:val="center"/>
              <w:rPr>
                <w:color w:val="000000" w:themeColor="text1"/>
                <w:u w:val="single"/>
                <w14:textFill>
                  <w14:solidFill>
                    <w14:schemeClr w14:val="tx1"/>
                  </w14:solidFill>
                </w14:textFill>
              </w:rPr>
            </w:pPr>
            <w:r>
              <w:rPr>
                <w:rFonts w:ascii="Roboto Black" w:hAnsi="Roboto Black"/>
                <w:b/>
                <w:sz w:val="18"/>
                <w:szCs w:val="18"/>
                <w:lang w:val="uk-UA"/>
              </w:rPr>
              <w:t>E-</w:t>
            </w:r>
            <w:r>
              <w:rPr>
                <w:rFonts w:ascii="Roboto Black" w:hAnsi="Roboto Black"/>
                <w:b/>
                <w:sz w:val="18"/>
                <w:szCs w:val="18"/>
                <w:lang w:val="en-US"/>
              </w:rPr>
              <w:t>mail</w:t>
            </w:r>
            <w:r>
              <w:rPr>
                <w:rFonts w:ascii="Roboto Black" w:hAnsi="Roboto Black"/>
                <w:b/>
                <w:sz w:val="18"/>
                <w:szCs w:val="18"/>
                <w:lang w:val="uk-UA"/>
              </w:rPr>
              <w:t xml:space="preserve">: </w:t>
            </w:r>
            <w:r>
              <w:fldChar w:fldCharType="begin"/>
            </w:r>
            <w:r>
              <w:instrText xml:space="preserve"> HYPERLINK "mailto:2med@karazin.ua" </w:instrText>
            </w:r>
            <w:r>
              <w:fldChar w:fldCharType="separate"/>
            </w:r>
            <w:r>
              <w:rPr>
                <w:rStyle w:val="5"/>
                <w:rFonts w:ascii="Roboto Black" w:hAnsi="Roboto Black"/>
                <w:b/>
                <w:color w:val="002060"/>
                <w:sz w:val="18"/>
                <w:szCs w:val="18"/>
                <w:lang w:val="uk-UA"/>
              </w:rPr>
              <w:t>2med@karazin.ua</w:t>
            </w:r>
            <w:r>
              <w:rPr>
                <w:rStyle w:val="5"/>
                <w:rFonts w:ascii="Roboto Black" w:hAnsi="Roboto Black"/>
                <w:b/>
                <w:color w:val="002060"/>
                <w:sz w:val="18"/>
                <w:szCs w:val="18"/>
                <w:lang w:val="uk-UA"/>
              </w:rPr>
              <w:fldChar w:fldCharType="end"/>
            </w:r>
            <w:r>
              <w:rPr>
                <w:rFonts w:ascii="Roboto Black" w:hAnsi="Roboto Black"/>
                <w:b/>
                <w:sz w:val="18"/>
                <w:szCs w:val="18"/>
                <w:lang w:val="uk-UA"/>
              </w:rPr>
              <w:t xml:space="preserve">      Сайт:  </w:t>
            </w:r>
            <w:r>
              <w:fldChar w:fldCharType="begin"/>
            </w:r>
            <w:r>
              <w:instrText xml:space="preserve"> HYPERLINK "http://www.2med.karazin.ua" </w:instrText>
            </w:r>
            <w:r>
              <w:fldChar w:fldCharType="separate"/>
            </w:r>
            <w:r>
              <w:rPr>
                <w:rStyle w:val="5"/>
                <w:rFonts w:ascii="Roboto Black" w:hAnsi="Roboto Black"/>
                <w:b/>
                <w:color w:val="002060"/>
                <w:sz w:val="18"/>
                <w:szCs w:val="18"/>
                <w:lang w:val="uk-UA"/>
              </w:rPr>
              <w:t>www.2med.karazin.ua</w:t>
            </w:r>
            <w:r>
              <w:rPr>
                <w:rStyle w:val="5"/>
                <w:rFonts w:ascii="Roboto Black" w:hAnsi="Roboto Black"/>
                <w:b/>
                <w:color w:val="002060"/>
                <w:sz w:val="18"/>
                <w:szCs w:val="18"/>
                <w:lang w:val="uk-UA"/>
              </w:rPr>
              <w:fldChar w:fldCharType="end"/>
            </w:r>
          </w:p>
        </w:tc>
        <w:tc>
          <w:tcPr>
            <w:tcW w:w="1876" w:type="dxa"/>
            <w:tcBorders>
              <w:top w:val="nil"/>
              <w:left w:val="nil"/>
              <w:bottom w:val="nil"/>
              <w:right w:val="nil"/>
            </w:tcBorders>
          </w:tcPr>
          <w:p w14:paraId="314C2C9E">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drawing>
                <wp:inline distT="0" distB="0" distL="0" distR="0">
                  <wp:extent cx="1054100" cy="1044575"/>
                  <wp:effectExtent l="0" t="0" r="1270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7" cstate="print">
                            <a:extLst>
                              <a:ext uri="{28A0092B-C50C-407E-A947-70E740481C1C}">
                                <a14:useLocalDpi xmlns:a14="http://schemas.microsoft.com/office/drawing/2010/main" val="0"/>
                              </a:ext>
                            </a:extLst>
                          </a:blip>
                          <a:srcRect l="19127" t="19374" r="18987" b="19293"/>
                          <a:stretch>
                            <a:fillRect/>
                          </a:stretch>
                        </pic:blipFill>
                        <pic:spPr>
                          <a:xfrm>
                            <a:off x="0" y="0"/>
                            <a:ext cx="1149466" cy="1139201"/>
                          </a:xfrm>
                          <a:prstGeom prst="rect">
                            <a:avLst/>
                          </a:prstGeom>
                          <a:ln>
                            <a:noFill/>
                          </a:ln>
                        </pic:spPr>
                      </pic:pic>
                    </a:graphicData>
                  </a:graphic>
                </wp:inline>
              </w:drawing>
            </w:r>
          </w:p>
        </w:tc>
      </w:tr>
    </w:tbl>
    <w:p w14:paraId="28D680F6">
      <w:pPr>
        <w:pStyle w:val="9"/>
        <w:spacing w:line="360" w:lineRule="auto"/>
        <w:ind w:firstLine="709"/>
        <w:jc w:val="center"/>
        <w:rPr>
          <w:rFonts w:ascii="Times New Roman" w:hAnsi="Times New Roman" w:cs="Times New Roman"/>
          <w:sz w:val="28"/>
          <w:szCs w:val="28"/>
          <w:lang w:val="uk-UA"/>
        </w:rPr>
      </w:pPr>
    </w:p>
    <w:p w14:paraId="687A3A03">
      <w:pPr>
        <w:pStyle w:val="9"/>
        <w:spacing w:line="360" w:lineRule="auto"/>
        <w:ind w:firstLine="709"/>
        <w:jc w:val="center"/>
        <w:rPr>
          <w:rFonts w:ascii="Times New Roman" w:hAnsi="Times New Roman" w:cs="Times New Roman"/>
          <w:sz w:val="28"/>
          <w:szCs w:val="28"/>
          <w:lang w:val="uk-UA"/>
        </w:rPr>
      </w:pPr>
    </w:p>
    <w:p w14:paraId="34FE7039">
      <w:pPr>
        <w:pStyle w:val="9"/>
        <w:spacing w:line="360" w:lineRule="auto"/>
        <w:ind w:firstLine="709"/>
        <w:jc w:val="center"/>
        <w:rPr>
          <w:rFonts w:ascii="Times New Roman" w:hAnsi="Times New Roman" w:cs="Times New Roman"/>
          <w:sz w:val="28"/>
          <w:szCs w:val="28"/>
          <w:lang w:val="uk-UA"/>
        </w:rPr>
      </w:pPr>
    </w:p>
    <w:p w14:paraId="5F67D6B1">
      <w:pPr>
        <w:pStyle w:val="9"/>
        <w:spacing w:line="360" w:lineRule="auto"/>
        <w:ind w:firstLine="709"/>
        <w:jc w:val="center"/>
        <w:rPr>
          <w:rFonts w:ascii="Times New Roman" w:hAnsi="Times New Roman" w:cs="Times New Roman"/>
          <w:sz w:val="28"/>
          <w:szCs w:val="28"/>
          <w:lang w:val="uk-UA"/>
        </w:rPr>
      </w:pPr>
    </w:p>
    <w:p w14:paraId="56B0A9F3">
      <w:pPr>
        <w:pStyle w:val="9"/>
        <w:spacing w:line="360" w:lineRule="auto"/>
        <w:ind w:firstLine="709"/>
        <w:jc w:val="center"/>
        <w:rPr>
          <w:rFonts w:ascii="Times New Roman" w:hAnsi="Times New Roman" w:cs="Times New Roman"/>
          <w:sz w:val="28"/>
          <w:szCs w:val="28"/>
          <w:lang w:val="uk-UA"/>
        </w:rPr>
      </w:pPr>
    </w:p>
    <w:p w14:paraId="78FA4752">
      <w:pPr>
        <w:pStyle w:val="9"/>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«ЗАТВЕРДЖУЮ»</w:t>
      </w:r>
    </w:p>
    <w:p w14:paraId="3D62FF52">
      <w:pPr>
        <w:pStyle w:val="9"/>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В.о. декана II Медичного факультету</w:t>
      </w:r>
    </w:p>
    <w:p w14:paraId="2C6534F0">
      <w:pPr>
        <w:pStyle w:val="9"/>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ХНУ імені М.Н. Каразіна</w:t>
      </w:r>
    </w:p>
    <w:p w14:paraId="3CCE3424">
      <w:pPr>
        <w:pStyle w:val="9"/>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Олександр КОЗЛОВ</w:t>
      </w:r>
    </w:p>
    <w:p w14:paraId="2BB15B2B">
      <w:pPr>
        <w:pStyle w:val="9"/>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w:t>
      </w:r>
      <w:r>
        <w:rPr>
          <w:rFonts w:hint="default" w:ascii="Times New Roman" w:hAnsi="Times New Roman" w:cs="Times New Roman"/>
          <w:sz w:val="28"/>
          <w:szCs w:val="28"/>
          <w:lang w:val="uk-UA"/>
        </w:rPr>
        <w:t>_____</w:t>
      </w:r>
      <w:bookmarkStart w:id="0" w:name="_GoBack"/>
      <w:bookmarkEnd w:id="0"/>
      <w:r>
        <w:rPr>
          <w:rFonts w:ascii="Times New Roman" w:hAnsi="Times New Roman" w:cs="Times New Roman"/>
          <w:sz w:val="28"/>
          <w:szCs w:val="28"/>
          <w:lang w:val="uk-UA"/>
        </w:rPr>
        <w:t xml:space="preserve"> » ___________ 2025 р.</w:t>
      </w:r>
    </w:p>
    <w:p w14:paraId="0E0DEF30">
      <w:pPr>
        <w:pStyle w:val="9"/>
        <w:spacing w:line="360" w:lineRule="auto"/>
        <w:ind w:firstLine="709"/>
        <w:jc w:val="center"/>
        <w:rPr>
          <w:rFonts w:ascii="Times New Roman" w:hAnsi="Times New Roman" w:cs="Times New Roman"/>
          <w:sz w:val="28"/>
          <w:szCs w:val="28"/>
          <w:lang w:val="uk-UA"/>
        </w:rPr>
      </w:pPr>
    </w:p>
    <w:p w14:paraId="65E39E68">
      <w:pPr>
        <w:pStyle w:val="9"/>
        <w:spacing w:line="360" w:lineRule="auto"/>
        <w:ind w:firstLine="709"/>
        <w:jc w:val="center"/>
        <w:rPr>
          <w:rFonts w:ascii="Times New Roman" w:hAnsi="Times New Roman" w:cs="Times New Roman"/>
          <w:sz w:val="28"/>
          <w:szCs w:val="28"/>
          <w:lang w:val="uk-UA"/>
        </w:rPr>
      </w:pPr>
    </w:p>
    <w:p w14:paraId="6BAF1764">
      <w:pPr>
        <w:pStyle w:val="9"/>
        <w:spacing w:line="360" w:lineRule="auto"/>
        <w:ind w:firstLine="709"/>
        <w:jc w:val="center"/>
        <w:rPr>
          <w:rFonts w:ascii="Times New Roman" w:hAnsi="Times New Roman" w:cs="Times New Roman"/>
          <w:sz w:val="28"/>
          <w:szCs w:val="28"/>
          <w:lang w:val="uk-UA"/>
        </w:rPr>
      </w:pPr>
    </w:p>
    <w:p w14:paraId="6EE73FDD">
      <w:pPr>
        <w:pStyle w:val="9"/>
        <w:spacing w:line="360" w:lineRule="auto"/>
        <w:ind w:firstLine="709"/>
        <w:jc w:val="center"/>
        <w:rPr>
          <w:rFonts w:ascii="Times New Roman" w:hAnsi="Times New Roman" w:cs="Times New Roman"/>
          <w:sz w:val="28"/>
          <w:szCs w:val="28"/>
          <w:lang w:val="uk-UA"/>
        </w:rPr>
      </w:pPr>
    </w:p>
    <w:p w14:paraId="5FAC3E18">
      <w:pPr>
        <w:pStyle w:val="9"/>
        <w:spacing w:line="360" w:lineRule="auto"/>
        <w:ind w:firstLine="709"/>
        <w:jc w:val="center"/>
        <w:rPr>
          <w:rFonts w:ascii="Times New Roman" w:hAnsi="Times New Roman" w:cs="Times New Roman"/>
          <w:sz w:val="28"/>
          <w:szCs w:val="28"/>
          <w:lang w:val="uk-UA"/>
        </w:rPr>
      </w:pPr>
    </w:p>
    <w:p w14:paraId="2E06A242">
      <w:pPr>
        <w:pStyle w:val="9"/>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ПЛАН РОБОТИ</w:t>
      </w:r>
    </w:p>
    <w:p w14:paraId="3BEDEEE5">
      <w:pPr>
        <w:pStyle w:val="9"/>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кафедри стоматології</w:t>
      </w:r>
    </w:p>
    <w:p w14:paraId="7F3BC25E">
      <w:pPr>
        <w:pStyle w:val="9"/>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2025-2030 р.р.</w:t>
      </w:r>
    </w:p>
    <w:p w14:paraId="70D8132A">
      <w:pPr>
        <w:pStyle w:val="9"/>
        <w:spacing w:line="360" w:lineRule="auto"/>
        <w:ind w:firstLine="709"/>
        <w:jc w:val="center"/>
        <w:rPr>
          <w:rFonts w:ascii="Times New Roman" w:hAnsi="Times New Roman" w:cs="Times New Roman"/>
          <w:sz w:val="28"/>
          <w:szCs w:val="28"/>
          <w:lang w:val="uk-UA"/>
        </w:rPr>
      </w:pPr>
    </w:p>
    <w:p w14:paraId="67CF8AC5">
      <w:pPr>
        <w:pStyle w:val="9"/>
        <w:spacing w:line="360" w:lineRule="auto"/>
        <w:ind w:firstLine="709"/>
        <w:jc w:val="center"/>
        <w:rPr>
          <w:rFonts w:ascii="Times New Roman" w:hAnsi="Times New Roman" w:cs="Times New Roman"/>
          <w:sz w:val="28"/>
          <w:szCs w:val="28"/>
          <w:lang w:val="uk-UA"/>
        </w:rPr>
      </w:pPr>
    </w:p>
    <w:p w14:paraId="136A13CB">
      <w:pPr>
        <w:pStyle w:val="9"/>
        <w:spacing w:line="360" w:lineRule="auto"/>
        <w:ind w:firstLine="709"/>
        <w:jc w:val="center"/>
        <w:rPr>
          <w:rFonts w:ascii="Times New Roman" w:hAnsi="Times New Roman" w:cs="Times New Roman"/>
          <w:sz w:val="28"/>
          <w:szCs w:val="28"/>
          <w:lang w:val="uk-UA"/>
        </w:rPr>
      </w:pPr>
    </w:p>
    <w:p w14:paraId="1120C477">
      <w:pPr>
        <w:pStyle w:val="9"/>
        <w:spacing w:line="360" w:lineRule="auto"/>
        <w:ind w:firstLine="709"/>
        <w:rPr>
          <w:rFonts w:ascii="Times New Roman" w:hAnsi="Times New Roman" w:cs="Times New Roman"/>
          <w:sz w:val="28"/>
          <w:szCs w:val="28"/>
          <w:lang w:val="uk-UA"/>
        </w:rPr>
      </w:pPr>
    </w:p>
    <w:p w14:paraId="00AE9070">
      <w:pPr>
        <w:pStyle w:val="9"/>
        <w:spacing w:line="360" w:lineRule="auto"/>
        <w:ind w:firstLine="709"/>
        <w:rPr>
          <w:rFonts w:ascii="Times New Roman" w:hAnsi="Times New Roman" w:cs="Times New Roman"/>
          <w:sz w:val="28"/>
          <w:szCs w:val="28"/>
          <w:lang w:val="uk-UA"/>
        </w:rPr>
      </w:pPr>
    </w:p>
    <w:p w14:paraId="0ADCC0F6">
      <w:pPr>
        <w:pStyle w:val="9"/>
        <w:spacing w:line="360" w:lineRule="auto"/>
        <w:ind w:firstLine="709"/>
        <w:rPr>
          <w:rFonts w:ascii="Times New Roman" w:hAnsi="Times New Roman" w:cs="Times New Roman"/>
          <w:sz w:val="28"/>
          <w:szCs w:val="28"/>
          <w:lang w:val="uk-UA"/>
        </w:rPr>
      </w:pPr>
    </w:p>
    <w:p w14:paraId="2D64FF2D">
      <w:pPr>
        <w:pStyle w:val="9"/>
        <w:spacing w:line="360" w:lineRule="auto"/>
        <w:ind w:firstLine="709"/>
        <w:rPr>
          <w:rFonts w:ascii="Times New Roman" w:hAnsi="Times New Roman" w:cs="Times New Roman"/>
          <w:sz w:val="28"/>
          <w:szCs w:val="28"/>
          <w:lang w:val="uk-UA"/>
        </w:rPr>
      </w:pPr>
    </w:p>
    <w:p w14:paraId="66111750">
      <w:pPr>
        <w:pStyle w:val="9"/>
        <w:spacing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br w:type="page"/>
      </w:r>
    </w:p>
    <w:p w14:paraId="6912FCCE">
      <w:pPr>
        <w:pStyle w:val="9"/>
        <w:spacing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 на 5 років</w:t>
      </w:r>
    </w:p>
    <w:p w14:paraId="78441E26">
      <w:pPr>
        <w:pStyle w:val="9"/>
        <w:spacing w:line="360" w:lineRule="auto"/>
        <w:ind w:firstLine="709"/>
        <w:rPr>
          <w:rFonts w:ascii="Times New Roman" w:hAnsi="Times New Roman" w:cs="Times New Roman"/>
          <w:b/>
          <w:sz w:val="28"/>
          <w:szCs w:val="28"/>
          <w:lang w:val="uk-UA"/>
        </w:rPr>
      </w:pPr>
      <w:r>
        <w:rPr>
          <w:rFonts w:ascii="Times New Roman" w:hAnsi="Times New Roman" w:cs="Times New Roman"/>
          <w:sz w:val="28"/>
          <w:szCs w:val="28"/>
          <w:lang w:val="uk-UA"/>
        </w:rPr>
        <w:t>Згідно з Стратегічними цілями й намірами Харківського національного університету імені В. Н. Каразіна, які визначають межі прийняття стратегічних рішень університету за окремими сферами діяльності та розбудови міждисциплінарного співробітництва та взаємодії з прикладною сферою на засадах сталого розвитку, кафедра стоматології  ІІ Медичного факультету планує до 2030 року:</w:t>
      </w:r>
    </w:p>
    <w:p w14:paraId="2F791B5A">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Відповідно до індивідуальної цілі 1.1 удосконалити систему управління якістю.  З метою поліпшення якості освіти буде зроблено наголос на етиці публікацій (походження наукових робіт, правильне цитування, усунення плагіату), і здобувачі освіти та наукових ступенів усіх рівнів, зокрема, будуть орієнтовані на дотримання стандартів академічної етики з першого року навчання за допомогою додаткової освіти (семінари, лекції). </w:t>
      </w:r>
    </w:p>
    <w:p w14:paraId="5FE75490">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Підготуватися до  акредитації освітньо-професійної програми  221. «Стоматологія», підготувати освітньо-наукову програму для підготовки здобувачів вищої освіти на третьому рівні освіти (PhD),та короткотермінові і середньотермінові освітні програми неформальної освіти для циклів післядипломної освіти. Створення нових ОПП та робочих програм з усіх напрямків стоматології : Стоматологія, Хірургічна стоматологія, Щелепно-лицева хірургія, Ортодонтія, Ортопедична стоматологія, Дитяча стоматологія, Пародонтологія, Терапевтична стоматологія, циклів тематичного удосконалення та заходів БПР лікарів- стоматологів всіх напрямків та навчальних дисциплін для впровадження навчання за спеціальністю І1 Стоматологія на другому (магістерському) рівні вищої освіти у галузі знань 22 Охорона здоров’я, підготовка навчальних та навчально-методичних посібників для самостійної роботи слухачів;  проведення аналізу клінічних кейсів, навчальних семінарів;  впровадження сучасних освітніх технологій, підходів до організації навчального процесу;</w:t>
      </w:r>
    </w:p>
    <w:p w14:paraId="1663B8BC">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Використовувати можливості штучного інтелекту для навчального процесу та наукових досліджень а також у підвищенні якості управління  на кафедрі стоматології.</w:t>
      </w:r>
    </w:p>
    <w:p w14:paraId="1E4B3D70">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1.2 розвивати освітню інфраструктуру та системи віртуального навчання на кафедрі стоматології. Метою є підтримка розвитку освітньої інфраструктури, яка відіграє вирішальну роль у забезпеченні якісного опанування освітніх програм, здобуття знань, умінь та професійних компетентностей. Діяльність буде зосереджена, головним чином, на забезпеченні відновлення навчальних просторів, віртуальної інфраструктури для проведення занять, матеріалів для практичних занять та на підтримці забезпечення учасників освітнього процесу джерелами інформації.</w:t>
      </w:r>
    </w:p>
    <w:p w14:paraId="4EB74CEA">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Відповідно до індивідуальної цілі 1.3 метою є створення умов для реалізації креативних навичок персоналу кафедри, вдосконалення процесів відбору викладачів кафедри, розвитку прозорості процесів відбору та заохочення співробітників кафедри. Уточнення документів кафедри, що визначають розвиток викладацького складу, зокрема, кодексу їх етичної поведінки, процедури адаптації та інтеграції працівників, затвердження оцінки та планування особистісного розвитку, зокрема  </w:t>
      </w:r>
      <w:r>
        <w:rPr>
          <w:rFonts w:ascii="Times New Roman" w:hAnsi="Times New Roman" w:cs="Times New Roman"/>
          <w:bCs/>
          <w:sz w:val="28"/>
          <w:szCs w:val="28"/>
          <w:lang w:val="uk-UA"/>
        </w:rPr>
        <w:t xml:space="preserve"> участь у науково-методичних семінарах з педагогічної діяльності, проходження циклів тематичного удосконалення.</w:t>
      </w:r>
    </w:p>
    <w:p w14:paraId="3F472FCA">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індивідуальної  цілі 2.1 продовжувати підтримувати здобувачів освіти з особливими потребами </w:t>
      </w:r>
    </w:p>
    <w:p w14:paraId="5F6C4EC9">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Метою є підтримка та забезпечення комфортного та якісного навчання  на кафедрі осіб з особливими потребами; створення сучасного безперешкодного кафедрального простору, сприяння наданню таким особам засобів навчання, зокрема, цифрових. Врахування потреб повоєнного суспільства, змін на ринку праці в умовах повоєнного відновлення України, особливостей посттравматичного стану суспільства, його окремих груп та індивідів, зокрема, організація гнучкої, зручної та ефективної освіти осіб з особливими потребами.</w:t>
      </w:r>
    </w:p>
    <w:p w14:paraId="2C806BD0">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2.2 продовжувати розвивати навчання впродовж життя.</w:t>
      </w:r>
    </w:p>
    <w:p w14:paraId="0E3EC2C8">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Метою є забезпечення потреб особистості в професійному вдосконаленні, набуття нових сучасних навичок і компетентностей, необхідних для реалізації кар’єрних завдань і комфортного життя, задоволення потреб ринку праці, підприємств, організацій у кваліфікованих кадрах. Створення на кафедрі стоматології  системних умов, що дають можливість гнучко реагувати на попит на навчання дорослих і старшого населення, зокрема, окремих груп професіоналів (як у сфер стоматології, так і працівників університету), для яких кафедра може створювати актуальні освітні продукти у сфері БПР (безперервного професійного розвитку).</w:t>
      </w:r>
    </w:p>
    <w:p w14:paraId="0B992A2C">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2.3 продовжувати розвивати консультаційні послуги у сфері навчання, кар’єри, особистих та соціальних послуг.</w:t>
      </w:r>
    </w:p>
    <w:p w14:paraId="724B5C39">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Метою є підвищення рівня адаптації здобувачів освіти до динамічного соціального середовища, надання допомоги в складних життєвих ситуаціях, розширення кола споживачів освітніх послуг кафедри стоматології, покращення доступності консультаційних послуг та підтримка проєктів, спрямованих на становлення професійної кар’єри студентів та випускників університету (ярмарки вакансій, дні кар’єри тощо). </w:t>
      </w:r>
    </w:p>
    <w:p w14:paraId="49DA17D8">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індивідуальної  цілі 2.4 краще розпізнавати кафедру стоматології університету серед потенційних здобувачів освіти. </w:t>
      </w:r>
    </w:p>
    <w:p w14:paraId="239184D7">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Метою є підтримка привабливого іміджу кафедри стоматології   як центру отримання сучасних інноваційних освітніх послуг світового рівня, розвитку та реалізації сучасної науки та технологій, як місця реалізацій мрій і прагнень здобувача освіти, побудови кар’єри; ефективна профорієнтаційна робота зі споживачами освітніх послуг як в Україні, та і за її межами. Цілеспрямоване пропонування навчальних курсів на інформаційних ресурсах університету з наголосом на співпрацю з випускниками шкіл України та з-за кордону. Проводити роботу по підтримці та наповненню сторінки кафедри на WEB сайті факультету, створенні групи кафедри в соц. мережах;  приймати участь у довузівській підготовці: «Знайомство першокурсників з  симуляційним центром ХНУ імені В.Н. Каразіна», проводити   "Профорієнтаційну підготовку школярів", «День відкритих дверей ХНУ імені В.Н. Каразіна», «День відкритих дверей медичного факультету», "Днів науки».</w:t>
      </w:r>
    </w:p>
    <w:p w14:paraId="586B79B0">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3.1 продовжувати розвивати міжнародну співпрацю.</w:t>
      </w:r>
    </w:p>
    <w:p w14:paraId="21E12A57">
      <w:pPr>
        <w:pStyle w:val="9"/>
        <w:spacing w:line="360" w:lineRule="auto"/>
        <w:ind w:firstLine="709"/>
        <w:rPr>
          <w:rFonts w:ascii="Times New Roman" w:hAnsi="Times New Roman" w:cs="Times New Roman"/>
          <w:bCs/>
          <w:sz w:val="28"/>
          <w:szCs w:val="28"/>
          <w:lang w:val="uk-UA"/>
        </w:rPr>
      </w:pPr>
      <w:r>
        <w:rPr>
          <w:rFonts w:ascii="Times New Roman" w:hAnsi="Times New Roman" w:cs="Times New Roman"/>
          <w:sz w:val="28"/>
          <w:szCs w:val="28"/>
          <w:lang w:val="uk-UA"/>
        </w:rPr>
        <w:t>Метою є підвищення якості освіти та досліджень, розширення мобільності здобувачів освіти та академічного персоналу, інтеграція міжнародного досвіду в освітній процес, планування та здійснення наукових досліджень, а також розроблення освітніх стратегій, спрямованих на збереження цінності європейської солідарності, різноманітності, громадянської активності й відповідальності з урахуванням перспектив розвитку сучасного суспільства.</w:t>
      </w:r>
      <w:r>
        <w:rPr>
          <w:rFonts w:ascii="Times New Roman" w:hAnsi="Times New Roman" w:cs="Times New Roman"/>
          <w:bCs/>
          <w:sz w:val="28"/>
          <w:szCs w:val="28"/>
          <w:lang w:val="uk-UA"/>
        </w:rPr>
        <w:t xml:space="preserve">  Приймати участь у навчальних проектах університетів економічно розвинутих країн з метою опанування закордонного педагогічного досвіду.</w:t>
      </w:r>
    </w:p>
    <w:p w14:paraId="113452CE">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3.2 розвивати на кафедрі стоматології мультикультурне та багатомовне освітнє та позаосвітнє середовище</w:t>
      </w:r>
    </w:p>
    <w:p w14:paraId="56FA14AC">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Метою розвитку мультикультурного та багатомовного освітнього та позаосвітнього середовища є створення відкритого простору розвитку освіти, науки, культури, що сприятиме залученню до навчання на кафедрі якнайбільшого числа здобувачів освіти з різних країн світу задля дослідження їхніх культур, традицій, мов, релігій. Збільшеня кількості  викладачів, які володіють  іноземною мовою. </w:t>
      </w:r>
    </w:p>
    <w:p w14:paraId="4DD644C7">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4.1 підтримувати актуальність досліджень та співпраці з практичним досвідом.</w:t>
      </w:r>
    </w:p>
    <w:p w14:paraId="2BF65CD6">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Метою є підвищення кількісних та якісних показників публікаційної активності працівників кафедри стоматології. Якнайширша представленість результатів наукової діяльності кафедри стоматології в соціальних мережах, медіа тощо. Розширення можливості для представників реального сектору контактувати зі здобувачами освіти та науковцями, зокрема, у частині просування здобутків молодих учених та розширення внеску в обороноздатність держави.</w:t>
      </w:r>
    </w:p>
    <w:p w14:paraId="51B88FB6">
      <w:pPr>
        <w:pStyle w:val="9"/>
        <w:spacing w:line="360" w:lineRule="auto"/>
        <w:ind w:firstLine="709"/>
        <w:rPr>
          <w:rFonts w:ascii="Times New Roman" w:hAnsi="Times New Roman" w:cs="Times New Roman"/>
          <w:sz w:val="28"/>
          <w:szCs w:val="28"/>
          <w:lang w:val="uk-UA"/>
        </w:rPr>
      </w:pPr>
      <w:r>
        <w:rPr>
          <w:rFonts w:ascii="Times New Roman" w:hAnsi="Times New Roman" w:cs="Times New Roman"/>
          <w:bCs/>
          <w:sz w:val="28"/>
          <w:szCs w:val="28"/>
          <w:lang w:val="uk-UA"/>
        </w:rPr>
        <w:t xml:space="preserve">Наукову роботу кафедри проводити спільно із іншими підрозділами університету та у рамках договору про наукову співпрацю із ХНТУ «ХПІ». Підготувати та підписати договори про наукову співпрацю із іншими науковими та науково-дослідними установами; </w:t>
      </w:r>
      <w:r>
        <w:rPr>
          <w:rFonts w:ascii="Times New Roman" w:hAnsi="Times New Roman" w:cs="Times New Roman"/>
          <w:sz w:val="28"/>
          <w:szCs w:val="28"/>
          <w:lang w:val="uk-UA"/>
        </w:rPr>
        <w:t xml:space="preserve"> виконувати наукову роботу за затвердженою темою  науково-дослідної роботи кафедри: </w:t>
      </w:r>
      <w:r>
        <w:rPr>
          <w:rFonts w:ascii="Times New Roman" w:hAnsi="Times New Roman" w:eastAsia="Times New Roman" w:cs="Times New Roman"/>
          <w:color w:val="222222"/>
          <w:sz w:val="28"/>
          <w:szCs w:val="28"/>
          <w:lang w:val="uk-UA" w:eastAsia="zh-CN"/>
        </w:rPr>
        <w:t>"Оптимізація методів профілактики, діагностики та лікування стоматологічних захворювань з урахуванням індивідуальної реабілітації", керівник Ніконов А.Ю. – зареєстрованою за Державним реєстраційним номером: 0124U002252;</w:t>
      </w:r>
      <w:r>
        <w:rPr>
          <w:rFonts w:ascii="Times New Roman" w:hAnsi="Times New Roman" w:cs="Times New Roman"/>
          <w:color w:val="222222"/>
          <w:sz w:val="28"/>
          <w:szCs w:val="28"/>
          <w:lang w:val="uk-UA"/>
        </w:rPr>
        <w:t xml:space="preserve"> готувати та публікувати наукові праці у виданнях</w:t>
      </w:r>
      <w:r>
        <w:rPr>
          <w:rFonts w:ascii="Times New Roman" w:hAnsi="Times New Roman" w:cs="Times New Roman"/>
          <w:sz w:val="28"/>
          <w:szCs w:val="28"/>
          <w:lang w:val="uk-UA"/>
        </w:rPr>
        <w:t>,  які індексуються міжнародними науково-метричними системами  Web of Science  або Scopus , зокрема   у   «Харківському стоматологічному журналі» ;</w:t>
      </w:r>
      <w:r>
        <w:rPr>
          <w:rFonts w:ascii="Times New Roman" w:hAnsi="Times New Roman" w:cs="Times New Roman"/>
          <w:bCs/>
          <w:sz w:val="28"/>
          <w:szCs w:val="28"/>
          <w:lang w:val="uk-UA"/>
        </w:rPr>
        <w:t xml:space="preserve"> підготовка та публікації наукових статей у</w:t>
      </w:r>
      <w:r>
        <w:rPr>
          <w:rFonts w:ascii="Times New Roman" w:hAnsi="Times New Roman" w:cs="Times New Roman"/>
          <w:bCs/>
          <w:sz w:val="28"/>
          <w:szCs w:val="28"/>
          <w:shd w:val="clear" w:color="auto" w:fill="FFFFFF"/>
          <w:lang w:val="uk-UA"/>
        </w:rPr>
        <w:t xml:space="preserve"> фахових виданнях; приймати участь у конгресах, семінарах, наукових та науково-практичних конференціях;</w:t>
      </w:r>
      <w:r>
        <w:rPr>
          <w:rFonts w:ascii="Times New Roman" w:hAnsi="Times New Roman" w:cs="Times New Roman"/>
          <w:sz w:val="28"/>
          <w:szCs w:val="28"/>
          <w:lang w:val="uk-UA"/>
        </w:rPr>
        <w:t xml:space="preserve"> продовжувати роботу по організації і проведенню двічі на рік науково-практичних конференцій, що є доданими до наукового реєстру та центру тестувань для призначення балів БПР. Це конференція з  міжнародною участю «Сучасні тенденції та перспективи розвитку стоматологічної освіти, науки та практики» та всеукраїнська конференція «Інноваційна стоматологічна наука. Аспекти і тенденції розвитку теорії та практики».</w:t>
      </w:r>
    </w:p>
    <w:p w14:paraId="0D613271">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Відповідно до індивідуальної  цілі 4.2 розвивати співпрацю з регіональними партнерами .</w:t>
      </w:r>
    </w:p>
    <w:p w14:paraId="6D94F488">
      <w:pPr>
        <w:pStyle w:val="9"/>
        <w:spacing w:line="360" w:lineRule="auto"/>
        <w:ind w:firstLine="709"/>
        <w:rPr>
          <w:rFonts w:ascii="Times New Roman" w:hAnsi="Times New Roman" w:cs="Times New Roman"/>
          <w:bCs/>
          <w:sz w:val="28"/>
          <w:szCs w:val="28"/>
          <w:lang w:val="uk-UA"/>
        </w:rPr>
      </w:pPr>
      <w:r>
        <w:rPr>
          <w:rFonts w:ascii="Times New Roman" w:hAnsi="Times New Roman" w:cs="Times New Roman"/>
          <w:bCs/>
          <w:sz w:val="28"/>
          <w:szCs w:val="28"/>
          <w:lang w:val="uk-UA"/>
        </w:rPr>
        <w:t xml:space="preserve">Продовжувати співробітництво з наступними клінічними установами: </w:t>
      </w:r>
    </w:p>
    <w:p w14:paraId="5BAF4466">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КНП ХОР “Обласна клінічна лікарня”, КНП ХОР “Обласна стоматологічна поліклініка”,  “Міська стоматологічна поліклініка № 1” ХМР, приватними стоматологічними клініками Mamont, ПП «Незабудка»,</w:t>
      </w:r>
    </w:p>
    <w:p w14:paraId="582741CF">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приватною стоматологічною клінікою BodnarClinic, Медико-санітарною частиною ОАО «ХТЗ», КНП МКЛ №30 ХМР. Клінікою Солонько Сов’як,  КНП “Міська стоматологічна поліклініка № 3” ХМР, з  компанією GS Europe N.V., КНП «Шосткінська стоматологічна поліклініка» ШМР, “Міська стоматологічна поліклініка № 4” ХМР, ФОП «Фоменко Ю.В.», ТОВ «Віола Медтехніка », КЗОЗ «Харківський обласний медичний фаховий коледж» ХОР, ТОВ «СІЛК- 2016».</w:t>
      </w:r>
    </w:p>
    <w:p w14:paraId="5ED3EDF1">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Розширити роботу із стоматологічними установами м.Харкова, Харківської області та інших міст та областей. Особливу увагу приділяти оборонній та прикладній тематикам результатів наукових досліджень.</w:t>
      </w:r>
    </w:p>
    <w:p w14:paraId="392ED013">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4.3 розширити співпрацю з випускниками.</w:t>
      </w:r>
    </w:p>
    <w:p w14:paraId="0BEAD0A9">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Метою є налагодження системної роботи з випускниками університету задля залучення їх до реалізації спільних як наукових, так і освітніх проєктів, залучення випускників як експертів та працедавців освітньої та наукової політик університету. Важливим аспектом є широке використання можливостей спільноти випускників, які працюють за здобутим в університеті фахом, для коригування та актуалізації змісту освітніх програм, забезпечення відповідності переліку освітніх послуг, які надає університет, кращим світовим трендам, наповнення змісту освітнього процесу адаптованими до потреб ринку практичними компетентностями, розвитку і вдосконалення дуальної освіти, набуття нею системного характеру </w:t>
      </w:r>
    </w:p>
    <w:p w14:paraId="4A83E80D">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5.1 продовжувати підтримувати ефективні команди .</w:t>
      </w:r>
    </w:p>
    <w:p w14:paraId="58A22266">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Метою є підтримка науково-педагогічних працівників кфедри стоматології шляхом професійної підготовки викладачів до роботи в галузі  «Стоматологія»,  просування освітніх проєктів або створення необхідних умов для виконання проєктних пропозицій.</w:t>
      </w:r>
    </w:p>
    <w:p w14:paraId="610B410F">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5.3 підвищити ефективність та успішність післядипломної та неформальної освіти</w:t>
      </w:r>
    </w:p>
    <w:p w14:paraId="77A41124">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Метою є збільшення попиту  кафедральної післядипломної та неформальної освіти серед потенційних споживачів освітніх послуг, збільшення числа охочих отримати  кафедральні послуги серед стоматологічної спільноти,  осіб різних вікових категорій, збільшення надходжень до бюджету університету, соціальна підтримка працівників  кафедри та сприяння їх професійному самовдосконаленню, набуття нових компетентностей.</w:t>
      </w:r>
    </w:p>
    <w:p w14:paraId="76330740">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Відповідно до індивідуальної  цілі 6.1 розвивати цифровий простір кафедри.</w:t>
      </w:r>
    </w:p>
    <w:p w14:paraId="2BB94F92">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Метою розвитку цифрового простору є створення диджитал-інфраструктури на кафедрі стоматології. Дебюрократизація та переведення документарного супроводу процесів кафедри стоматології в безпаперову форму. На кафедрі створюються дистанційні курси для використання в освітньому процесі освітньої електронної платформи MOODLE, електронних медичних систем.</w:t>
      </w:r>
    </w:p>
    <w:p w14:paraId="5B7FCFB4">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Відповідно до індивідуальної  цілі  6.2 підвищити рейтингові показники кафедри.</w:t>
      </w:r>
    </w:p>
    <w:p w14:paraId="6304D3D8">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Метою підвищення рейтингових показників кафедри стоматології є закріплення й покращення позицій кафедри в освітньому та науковому середовищі університету на основі поєднання результативності наукових досліджень, ефективності підготовки наукових кадрів, розвитку міжнародної активності, поєднання інноваційної складової в освітньому процесі, підвищення академічної репутації та реалізації інформаційної прозорості. </w:t>
      </w:r>
    </w:p>
    <w:p w14:paraId="63EAA2B9">
      <w:pPr>
        <w:pStyle w:val="9"/>
        <w:spacing w:line="360" w:lineRule="auto"/>
        <w:ind w:firstLine="709"/>
        <w:rPr>
          <w:rFonts w:ascii="Times New Roman" w:hAnsi="Times New Roman" w:cs="Times New Roman"/>
          <w:bCs/>
          <w:sz w:val="28"/>
          <w:szCs w:val="28"/>
          <w:lang w:val="uk-UA"/>
        </w:rPr>
      </w:pPr>
      <w:r>
        <w:rPr>
          <w:rFonts w:ascii="Times New Roman" w:hAnsi="Times New Roman" w:cs="Times New Roman"/>
          <w:sz w:val="28"/>
          <w:szCs w:val="28"/>
          <w:lang w:val="uk-UA"/>
        </w:rPr>
        <w:t>Відповідно до індивідуальної  цілі в модернізації та забезпечення сталого розвитку матеріально- технічної бази  кафедри стоматології</w:t>
      </w:r>
      <w:r>
        <w:rPr>
          <w:rFonts w:ascii="Times New Roman" w:hAnsi="Times New Roman" w:cs="Times New Roman"/>
          <w:bCs/>
          <w:sz w:val="28"/>
          <w:szCs w:val="28"/>
          <w:lang w:val="uk-UA"/>
        </w:rPr>
        <w:t xml:space="preserve"> в стоматологічному відділенні обласної клінічної лікарні м. Харкова продовжувати забезпечення сучасним аналоговим та цифровим обладнанням. На базі симуляційного центру медичного факультету створити сучасний стоматологічний фантомний клас.</w:t>
      </w:r>
    </w:p>
    <w:p w14:paraId="75991802">
      <w:pPr>
        <w:pStyle w:val="9"/>
        <w:spacing w:line="360" w:lineRule="auto"/>
        <w:ind w:firstLine="709"/>
        <w:rPr>
          <w:rFonts w:ascii="Times New Roman" w:hAnsi="Times New Roman" w:cs="Times New Roman"/>
          <w:bCs/>
          <w:sz w:val="28"/>
          <w:szCs w:val="28"/>
          <w:lang w:val="uk-UA"/>
        </w:rPr>
      </w:pPr>
      <w:r>
        <w:rPr>
          <w:rFonts w:ascii="Times New Roman" w:hAnsi="Times New Roman" w:cs="Times New Roman"/>
          <w:bCs/>
          <w:sz w:val="28"/>
          <w:szCs w:val="28"/>
          <w:lang w:val="uk-UA"/>
        </w:rPr>
        <w:t>Створити на базі кафедри стоматології університетську стоматологічну клініку, забезпечену сучасним аналоговим та цифровим обладнанням, підключену до електронних медичних систем.</w:t>
      </w:r>
    </w:p>
    <w:p w14:paraId="3BF254F6">
      <w:pPr>
        <w:pStyle w:val="9"/>
        <w:spacing w:line="360" w:lineRule="auto"/>
        <w:ind w:firstLine="709"/>
        <w:rPr>
          <w:rFonts w:ascii="Times New Roman" w:hAnsi="Times New Roman" w:cs="Times New Roman"/>
          <w:b/>
          <w:sz w:val="28"/>
          <w:szCs w:val="28"/>
          <w:lang w:val="uk-UA"/>
        </w:rPr>
      </w:pPr>
    </w:p>
    <w:p w14:paraId="2658218B">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В.о. зав. кафедри стоматології</w:t>
      </w:r>
    </w:p>
    <w:p w14:paraId="272E1B1A">
      <w:pPr>
        <w:pStyle w:val="9"/>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д.мед.н.,  професор                                     Андрій  НІКОНОВ</w:t>
      </w:r>
    </w:p>
    <w:p w14:paraId="57D72ED6">
      <w:pPr>
        <w:pStyle w:val="9"/>
        <w:spacing w:line="360" w:lineRule="auto"/>
        <w:ind w:firstLine="709"/>
        <w:rPr>
          <w:rFonts w:ascii="Times New Roman" w:hAnsi="Times New Roman" w:cs="Times New Roman"/>
          <w:b/>
          <w:sz w:val="28"/>
          <w:szCs w:val="28"/>
          <w:lang w:val="uk-UA"/>
        </w:rPr>
      </w:pPr>
    </w:p>
    <w:p w14:paraId="44BC44BD">
      <w:pPr>
        <w:pStyle w:val="9"/>
        <w:spacing w:line="360" w:lineRule="auto"/>
        <w:ind w:firstLine="709"/>
        <w:rPr>
          <w:rFonts w:ascii="Times New Roman" w:hAnsi="Times New Roman" w:cs="Times New Roman"/>
          <w:b/>
          <w:sz w:val="28"/>
          <w:szCs w:val="28"/>
          <w:lang w:val="uk-UA"/>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Roboto Black">
    <w:altName w:val="Verdana"/>
    <w:panose1 w:val="02000000000000000000"/>
    <w:charset w:val="CC"/>
    <w:family w:val="auto"/>
    <w:pitch w:val="default"/>
    <w:sig w:usb0="00000000" w:usb1="00000000" w:usb2="00000020" w:usb3="00000000" w:csb0="0000019F" w:csb1="00000000"/>
  </w:font>
  <w:font w:name="Verdana">
    <w:panose1 w:val="020B0604030504040204"/>
    <w:charset w:val="00"/>
    <w:family w:val="auto"/>
    <w:pitch w:val="default"/>
    <w:sig w:usb0="A0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07B"/>
    <w:rsid w:val="00067DF9"/>
    <w:rsid w:val="00152AB6"/>
    <w:rsid w:val="002A6E65"/>
    <w:rsid w:val="00326216"/>
    <w:rsid w:val="003D0FD0"/>
    <w:rsid w:val="004514D9"/>
    <w:rsid w:val="0056476F"/>
    <w:rsid w:val="005D24D8"/>
    <w:rsid w:val="00691BEE"/>
    <w:rsid w:val="00747A15"/>
    <w:rsid w:val="0075090F"/>
    <w:rsid w:val="007E4F3C"/>
    <w:rsid w:val="008A207B"/>
    <w:rsid w:val="009420E2"/>
    <w:rsid w:val="00972B82"/>
    <w:rsid w:val="009957A9"/>
    <w:rsid w:val="009B3C13"/>
    <w:rsid w:val="00A0471E"/>
    <w:rsid w:val="00A33AFD"/>
    <w:rsid w:val="00A87276"/>
    <w:rsid w:val="00B114E4"/>
    <w:rsid w:val="00B51E0B"/>
    <w:rsid w:val="00BD283F"/>
    <w:rsid w:val="00C065CB"/>
    <w:rsid w:val="00C900DB"/>
    <w:rsid w:val="00C97C61"/>
    <w:rsid w:val="00CB20D8"/>
    <w:rsid w:val="00D21E68"/>
    <w:rsid w:val="00D95462"/>
    <w:rsid w:val="00E07DCE"/>
    <w:rsid w:val="00E7468B"/>
    <w:rsid w:val="00F45798"/>
    <w:rsid w:val="00F67AAB"/>
    <w:rsid w:val="00FB47D8"/>
    <w:rsid w:val="00FC05C8"/>
    <w:rsid w:val="08995E1B"/>
    <w:rsid w:val="670835A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2"/>
    <w:basedOn w:val="1"/>
    <w:link w:val="8"/>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val="zh-CN" w:eastAsia="zh-CN"/>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basedOn w:val="3"/>
    <w:unhideWhenUsed/>
    <w:qFormat/>
    <w:uiPriority w:val="99"/>
    <w:rPr>
      <w:color w:val="0000FF" w:themeColor="hyperlink"/>
      <w:u w:val="single"/>
      <w14:textFill>
        <w14:solidFill>
          <w14:schemeClr w14:val="hlink"/>
        </w14:solidFill>
      </w14:textFill>
    </w:rPr>
  </w:style>
  <w:style w:type="table" w:styleId="6">
    <w:name w:val="Table Grid"/>
    <w:basedOn w:val="4"/>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Default"/>
    <w:uiPriority w:val="0"/>
    <w:pPr>
      <w:autoSpaceDE w:val="0"/>
      <w:autoSpaceDN w:val="0"/>
      <w:adjustRightInd w:val="0"/>
      <w:spacing w:after="0" w:line="240" w:lineRule="auto"/>
    </w:pPr>
    <w:rPr>
      <w:rFonts w:ascii="Calibri" w:hAnsi="Calibri" w:cs="Calibri" w:eastAsiaTheme="minorHAnsi"/>
      <w:color w:val="000000"/>
      <w:sz w:val="24"/>
      <w:szCs w:val="24"/>
      <w:lang w:val="en-US" w:eastAsia="en-US" w:bidi="ar-SA"/>
    </w:rPr>
  </w:style>
  <w:style w:type="character" w:customStyle="1" w:styleId="8">
    <w:name w:val="Заголовок 2 Знак"/>
    <w:basedOn w:val="3"/>
    <w:link w:val="2"/>
    <w:uiPriority w:val="9"/>
    <w:rPr>
      <w:rFonts w:ascii="Times New Roman" w:hAnsi="Times New Roman" w:eastAsia="Times New Roman" w:cs="Times New Roman"/>
      <w:b/>
      <w:bCs/>
      <w:sz w:val="36"/>
      <w:szCs w:val="36"/>
      <w:lang w:val="zh-CN" w:eastAsia="zh-CN"/>
    </w:rPr>
  </w:style>
  <w:style w:type="paragraph" w:styleId="9">
    <w:name w:val="No Spacing"/>
    <w:qFormat/>
    <w:uiPriority w:val="1"/>
    <w:pPr>
      <w:spacing w:after="0" w:line="240"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8619</Words>
  <Characters>4914</Characters>
  <Lines>40</Lines>
  <Paragraphs>27</Paragraphs>
  <TotalTime>1</TotalTime>
  <ScaleCrop>false</ScaleCrop>
  <LinksUpToDate>false</LinksUpToDate>
  <CharactersWithSpaces>13506</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2025-09-11T12:33:00Z</dcterms:created>
  <dc:creator>Admin</dc:creator>
  <cp:lastModifiedBy>татьяна сороков�</cp:lastModifiedBy>
  <cp:lastPrinted>2025-12-16T10:52:00Z</cp:lastPrinted>
  <dcterms:modified xsi:type="dcterms:W3CDTF">2025-12-16T11:08:07Z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54EC11164C7A4E1B93D28A7ABCB54501_13</vt:lpwstr>
  </property>
</Properties>
</file>